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Spacing w:w="0" w:type="dxa"/>
        <w:tblBorders>
          <w:top w:val="outset" w:sz="8" w:space="0" w:color="EEEEEE"/>
          <w:left w:val="outset" w:sz="8" w:space="0" w:color="EEEEEE"/>
          <w:bottom w:val="outset" w:sz="8" w:space="0" w:color="EEEEEE"/>
          <w:right w:val="outset" w:sz="8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0"/>
      </w:tblGrid>
      <w:tr w:rsidR="006439D2" w:rsidRPr="006439D2" w:rsidTr="006439D2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EEEEEE"/>
              <w:left w:val="outset" w:sz="8" w:space="0" w:color="EEEEEE"/>
              <w:bottom w:val="outset" w:sz="8" w:space="0" w:color="EEEEEE"/>
              <w:right w:val="outset" w:sz="8" w:space="0" w:color="EEEEEE"/>
            </w:tcBorders>
            <w:shd w:val="clear" w:color="auto" w:fill="FFFFFF"/>
            <w:hideMark/>
          </w:tcPr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60"/>
            </w:tblGrid>
            <w:tr w:rsidR="006439D2" w:rsidRPr="006439D2">
              <w:trPr>
                <w:tblCellSpacing w:w="7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11250" w:type="dxa"/>
                    <w:jc w:val="center"/>
                    <w:tblCellSpacing w:w="0" w:type="dxa"/>
                    <w:shd w:val="clear" w:color="auto" w:fill="DADCC5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01"/>
                  </w:tblGrid>
                  <w:tr w:rsidR="006439D2" w:rsidRPr="006439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ADCC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11001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886"/>
                          <w:gridCol w:w="115"/>
                        </w:tblGrid>
                        <w:tr w:rsidR="006439D2" w:rsidRPr="006439D2" w:rsidTr="00604A77">
                          <w:trPr>
                            <w:gridAfter w:val="1"/>
                            <w:wAfter w:w="115" w:type="dxa"/>
                            <w:tblCellSpacing w:w="0" w:type="dxa"/>
                          </w:trPr>
                          <w:tc>
                            <w:tcPr>
                              <w:tcW w:w="10886" w:type="dxa"/>
                              <w:vAlign w:val="center"/>
                              <w:hideMark/>
                            </w:tcPr>
                            <w:p w:rsidR="002221F1" w:rsidRDefault="003A4163" w:rsidP="00604A77">
                              <w:pPr>
                                <w:spacing w:before="100" w:beforeAutospacing="1" w:after="24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>Ovo</w:t>
                              </w:r>
                              <w:proofErr w:type="spellEnd"/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 xml:space="preserve"> je </w:t>
                              </w:r>
                              <w:proofErr w:type="spellStart"/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>izvanredan</w:t>
                              </w:r>
                              <w:proofErr w:type="spellEnd"/>
                            </w:p>
                            <w:p w:rsidR="003A4163" w:rsidRDefault="003A4163" w:rsidP="00604A77">
                              <w:pPr>
                                <w:spacing w:before="100" w:beforeAutospacing="1" w:after="24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>način</w:t>
                              </w:r>
                              <w:proofErr w:type="spellEnd"/>
                            </w:p>
                            <w:p w:rsidR="003A4163" w:rsidRDefault="003A4163" w:rsidP="00604A77">
                              <w:pPr>
                                <w:spacing w:before="100" w:beforeAutospacing="1" w:after="24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>da</w:t>
                              </w:r>
                              <w:proofErr w:type="spellEnd"/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>studirate</w:t>
                              </w:r>
                              <w:proofErr w:type="spellEnd"/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>homeopatiju</w:t>
                              </w:r>
                              <w:proofErr w:type="spellEnd"/>
                            </w:p>
                            <w:p w:rsidR="006439D2" w:rsidRPr="006439D2" w:rsidRDefault="003A4163" w:rsidP="00604A77">
                              <w:pPr>
                                <w:spacing w:before="100" w:beforeAutospacing="1" w:after="24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44"/>
                                  <w:szCs w:val="44"/>
                                  <w:shd w:val="clear" w:color="auto" w:fill="DADCC5"/>
                                </w:rPr>
                              </w:pPr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 xml:space="preserve">s </w:t>
                              </w:r>
                              <w:r w:rsidR="006439D2"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> </w:t>
                              </w:r>
                              <w:proofErr w:type="spellStart"/>
                              <w:r w:rsidR="006439D2"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44"/>
                                  <w:szCs w:val="44"/>
                                </w:rPr>
                                <w:t>George</w:t>
                              </w:r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44"/>
                                  <w:szCs w:val="44"/>
                                </w:rPr>
                                <w:t>om</w:t>
                              </w:r>
                              <w:proofErr w:type="spellEnd"/>
                              <w:r w:rsidR="006439D2"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44"/>
                                  <w:szCs w:val="44"/>
                                </w:rPr>
                                <w:t> </w:t>
                              </w:r>
                              <w:proofErr w:type="spellStart"/>
                              <w:r w:rsidR="006439D2"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44"/>
                                  <w:szCs w:val="44"/>
                                </w:rPr>
                                <w:t>Vithoulkas</w:t>
                              </w:r>
                              <w:r w:rsidRPr="003A41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44"/>
                                  <w:szCs w:val="44"/>
                                </w:rPr>
                                <w:t>om</w:t>
                              </w:r>
                              <w:proofErr w:type="spellEnd"/>
                            </w:p>
                            <w:p w:rsidR="002221F1" w:rsidRDefault="002221F1" w:rsidP="00E74E20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Dragi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homeopati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studenti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homeopatije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,  </w:t>
                              </w:r>
                            </w:p>
                            <w:p w:rsidR="00400CEF" w:rsidRDefault="002221F1" w:rsidP="00400CEF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Predstavljam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Vam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04A77">
                                <w:rPr>
                                  <w:rFonts w:ascii="Arial" w:hAnsi="Arial" w:cs="Arial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>E-Learning Program</w:t>
                              </w:r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koji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je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napravljen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s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idejom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da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Vam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ponudi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osnovna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znanja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i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iskustva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koje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sam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prikupio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svih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ovih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50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godina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otkad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prakticiram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i</w:t>
                              </w:r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podučavam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homeopatiju</w:t>
                              </w:r>
                              <w:proofErr w:type="spellEnd"/>
                              <w:r w:rsidRPr="002221F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To je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znanje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nastalo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pažljivoj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analizi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slučajeva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tretirao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kao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i  </w:t>
                              </w:r>
                              <w:proofErr w:type="spellStart"/>
                              <w:r w:rsidR="00D50A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6928E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</w:t>
                              </w:r>
                              <w:proofErr w:type="spellEnd"/>
                              <w:proofErr w:type="gramEnd"/>
                              <w:r w:rsidR="006928E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6928E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temelju</w:t>
                              </w:r>
                              <w:proofErr w:type="spellEnd"/>
                              <w:r w:rsidR="006928E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6928E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kontrolnih</w:t>
                              </w:r>
                              <w:proofErr w:type="spellEnd"/>
                              <w:r w:rsidR="006928E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6928E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pregleda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Proces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propisivanja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uvijek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samo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jednog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lijeka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mi je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omogućio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otkriće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novih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zakona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koji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pripadaju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“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nivoima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zdravlja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”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osobe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604A7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to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sam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objasnio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u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ovom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E-learning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program</w:t>
                              </w:r>
                              <w:r w:rsidR="00D50A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u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. Kao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što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Vas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većina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04A7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zna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svi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su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moji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slučajevi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uzeti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u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prisustvu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nekolicine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liječnika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koji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su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promatrali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rezultate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tretmana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Nudim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ovo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“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živo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”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znanje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s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nadom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će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biti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prihvaćeno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u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pravom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duhu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što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će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stvoriti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solidnu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bazu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za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buduće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generacije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koje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će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otići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još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dalje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i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još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više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604A77" w:rsidRDefault="00604A77" w:rsidP="00604A77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Želim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Vam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spellStart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inspirirajući</w:t>
                              </w:r>
                              <w:proofErr w:type="spellEnd"/>
                              <w:r w:rsidR="00400CE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liječenja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homeopatijom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</w:p>
                            <w:p w:rsidR="00604A77" w:rsidRDefault="00604A77" w:rsidP="00604A77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74E20" w:rsidRPr="00E74E20" w:rsidRDefault="00604A77" w:rsidP="00604A77">
                              <w:pPr>
                                <w:pStyle w:val="NormalWeb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anchor distT="95250" distB="95250" distL="95250" distR="95250" simplePos="0" relativeHeight="251660288" behindDoc="0" locked="0" layoutInCell="1" allowOverlap="0">
                                    <wp:simplePos x="0" y="0"/>
                                    <wp:positionH relativeFrom="column">
                                      <wp:posOffset>428625</wp:posOffset>
                                    </wp:positionH>
                                    <wp:positionV relativeFrom="line">
                                      <wp:posOffset>34290</wp:posOffset>
                                    </wp:positionV>
                                    <wp:extent cx="1905000" cy="2971800"/>
                                    <wp:effectExtent l="19050" t="0" r="0" b="0"/>
                                    <wp:wrapSquare wrapText="bothSides"/>
                                    <wp:docPr id="1" name="Picture 4" descr="https://www.vithoulkas.edu.gr/home/default_platform_document/vithoulkas/gvphoto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www.vithoulkas.edu.gr/home/default_platform_document/vithoulkas/gvphoto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2971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 w:rsidR="00E74E20" w:rsidRPr="00E74E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E74E20" w:rsidRPr="00E74E2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George </w:t>
                              </w:r>
                              <w:proofErr w:type="spellStart"/>
                              <w:r w:rsidR="00E74E20" w:rsidRPr="00E74E2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Vithoulkas</w:t>
                              </w:r>
                              <w:proofErr w:type="spellEnd"/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</w:rPr>
                              </w:pPr>
                            </w:p>
                            <w:p w:rsidR="00604A77" w:rsidRP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</w:rPr>
                                <w:lastRenderedPageBreak/>
                                <w:t>Vithoulkas</w:t>
                              </w:r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ova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učenja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su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sada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dostupna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hrvatskom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jeziku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kroz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E-LEARNING PROGRAM.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Radi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se o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potpunom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akademskom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programu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napravljenom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po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najvišim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edukacijskim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standardima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Napredak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svakog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studenta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prati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koordinator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u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Hrvatskoj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te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učitelji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u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Grčkoj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koji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će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odgovoriti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sva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Vaša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pitanja</w:t>
                              </w:r>
                              <w:proofErr w:type="spellEnd"/>
                              <w:r w:rsidRPr="00604A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604A77" w:rsidRPr="00604A77" w:rsidRDefault="00604A77" w:rsidP="00604A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6439D2" w:rsidRPr="006439D2" w:rsidRDefault="003A4163" w:rsidP="006439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Program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sadrži</w:t>
                              </w:r>
                              <w:proofErr w:type="spellEnd"/>
                              <w:r w:rsidR="006439D2" w:rsidRPr="006439D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:</w:t>
                              </w:r>
                            </w:p>
                            <w:p w:rsidR="006439D2" w:rsidRPr="006439D2" w:rsidRDefault="006439D2" w:rsidP="006972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§</w:t>
                              </w:r>
                              <w:proofErr w:type="spellStart"/>
                              <w:r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T</w:t>
                              </w:r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eoriju</w:t>
                              </w:r>
                              <w:proofErr w:type="spellEnd"/>
                            </w:p>
                            <w:p w:rsidR="006439D2" w:rsidRPr="006439D2" w:rsidRDefault="006439D2" w:rsidP="006972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§</w:t>
                              </w:r>
                              <w:proofErr w:type="spellStart"/>
                              <w:r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Materi</w:t>
                              </w:r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ju</w:t>
                              </w:r>
                              <w:proofErr w:type="spellEnd"/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medicu</w:t>
                              </w:r>
                              <w:proofErr w:type="spellEnd"/>
                            </w:p>
                            <w:p w:rsidR="006439D2" w:rsidRPr="006439D2" w:rsidRDefault="006439D2" w:rsidP="006972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§</w:t>
                              </w:r>
                              <w:proofErr w:type="spellStart"/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Analizu</w:t>
                              </w:r>
                              <w:proofErr w:type="spellEnd"/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slučaja</w:t>
                              </w:r>
                              <w:proofErr w:type="spellEnd"/>
                            </w:p>
                            <w:p w:rsidR="006439D2" w:rsidRPr="006439D2" w:rsidRDefault="006439D2" w:rsidP="006972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§</w:t>
                              </w:r>
                              <w:proofErr w:type="spellStart"/>
                              <w:r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Repertori</w:t>
                              </w:r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zaciju</w:t>
                              </w:r>
                              <w:proofErr w:type="spellEnd"/>
                            </w:p>
                            <w:p w:rsidR="003A4163" w:rsidRDefault="003A4163" w:rsidP="006972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§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Parametre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koji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određuju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i/>
                                  <w:color w:val="000000"/>
                                  <w:sz w:val="17"/>
                                </w:rPr>
                                <w:t>Nivo</w:t>
                              </w:r>
                              <w:proofErr w:type="spellEnd"/>
                              <w:r w:rsidRPr="00D50AEF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i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i/>
                                  <w:color w:val="000000"/>
                                  <w:sz w:val="17"/>
                                </w:rPr>
                                <w:t>zdravlja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svakog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pacijenta</w:t>
                              </w:r>
                              <w:proofErr w:type="spellEnd"/>
                              <w:r w:rsidR="006439D2"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  <w:p w:rsidR="003A4163" w:rsidRDefault="003A4163" w:rsidP="006972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§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Evaluaciju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analizu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svakog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slučaja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tj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proces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pronalaska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ispravnog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lijeka</w:t>
                              </w:r>
                              <w:proofErr w:type="spellEnd"/>
                              <w:r w:rsidR="006439D2"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</w:p>
                            <w:p w:rsidR="006439D2" w:rsidRPr="006439D2" w:rsidRDefault="006439D2" w:rsidP="006972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§</w:t>
                              </w:r>
                              <w:proofErr w:type="spellStart"/>
                              <w:r w:rsidRPr="006439D2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General</w:t>
                              </w:r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ne</w:t>
                              </w:r>
                              <w:proofErr w:type="spellEnd"/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 w:rsidR="003A416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</w:rPr>
                                <w:t>teme</w:t>
                              </w:r>
                              <w:proofErr w:type="spellEnd"/>
                            </w:p>
                            <w:p w:rsidR="006972BC" w:rsidRPr="006972BC" w:rsidRDefault="00604A77" w:rsidP="006972BC">
                              <w:pPr>
                                <w:spacing w:after="24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Program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sadrži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sve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ono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što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je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potrebno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da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bi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postal</w:t>
                              </w:r>
                              <w:r w:rsidR="00D50AEF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i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izvrsni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homeopati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i to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stoga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što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ćete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shvatiti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pravila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u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homeopatiji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i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načine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njihove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primjene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. Program je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također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i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izazov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iskusnim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homeopatima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da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prodube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svoje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znanje</w:t>
                              </w:r>
                              <w:proofErr w:type="spellEnd"/>
                              <w:r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što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je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bilo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do sad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dostupno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samo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onima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koji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su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putovali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na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grčki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otok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Alonissos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Ovo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je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jedinstvena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prilika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da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učite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homeopatiju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od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Georg</w:t>
                              </w:r>
                              <w:r w:rsidR="00696671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a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Vithoulkasa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50AEF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u </w:t>
                              </w:r>
                              <w:proofErr w:type="spellStart"/>
                              <w:r w:rsidR="00D50AEF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svojoj</w:t>
                              </w:r>
                              <w:proofErr w:type="spellEnd"/>
                              <w:r w:rsidR="00D50AEF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D50AEF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zemlji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tako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uštedite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novac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za</w:t>
                              </w:r>
                              <w:proofErr w:type="spellEnd"/>
                              <w:r w:rsidR="006972BC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 xml:space="preserve"> hotel i put.</w:t>
                              </w:r>
                              <w:r w:rsidR="006439D2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  <w:r w:rsidR="006439D2" w:rsidRPr="006972BC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  <w:r w:rsidR="006972BC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 xml:space="preserve">                                    </w:t>
                              </w:r>
                              <w:proofErr w:type="spellStart"/>
                              <w:r w:rsidR="00E74E20" w:rsidRPr="006972BC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Cijena</w:t>
                              </w:r>
                              <w:proofErr w:type="spellEnd"/>
                              <w:r w:rsidR="00E74E20" w:rsidRPr="006972BC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e-</w:t>
                              </w:r>
                              <w:proofErr w:type="spellStart"/>
                              <w:r w:rsidR="00E74E20" w:rsidRPr="006972BC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learninga</w:t>
                              </w:r>
                              <w:proofErr w:type="spellEnd"/>
                              <w:r w:rsidR="00E74E20" w:rsidRPr="006972BC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5" w:tgtFrame="_blank" w:history="1">
                                <w:proofErr w:type="spellStart"/>
                                <w:r w:rsidR="006972BC" w:rsidRPr="006972BC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5488"/>
                                    <w:sz w:val="24"/>
                                    <w:szCs w:val="24"/>
                                  </w:rPr>
                                  <w:t>programa</w:t>
                                </w:r>
                                <w:proofErr w:type="spellEnd"/>
                              </w:hyperlink>
                              <w:r w:rsidR="006972BC" w:rsidRPr="006972B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6972BC" w:rsidRPr="006972B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koji</w:t>
                              </w:r>
                              <w:proofErr w:type="spellEnd"/>
                              <w:r w:rsidR="006972BC" w:rsidRPr="006972B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6972BC" w:rsidRPr="006972BC" w:rsidRDefault="006972BC" w:rsidP="006972BC">
                              <w:pPr>
                                <w:spacing w:after="24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b/>
                                  <w:color w:val="365F91" w:themeColor="accent1" w:themeShade="BF"/>
                                  <w:sz w:val="32"/>
                                  <w:szCs w:val="32"/>
                                </w:rPr>
                                <w:t xml:space="preserve">                   </w:t>
                              </w:r>
                              <w:r w:rsidRPr="006972BC">
                                <w:rPr>
                                  <w:rFonts w:ascii="Verdana" w:hAnsi="Verdana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International Academy of Classical Homeopathy</w:t>
                              </w:r>
                              <w:r w:rsidRPr="006972B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6972BC" w:rsidRDefault="006972BC" w:rsidP="006972BC">
                              <w:pPr>
                                <w:spacing w:after="240" w:line="240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                                           </w:t>
                              </w:r>
                              <w:proofErr w:type="spellStart"/>
                              <w:r w:rsidRPr="006972B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organizira</w:t>
                              </w:r>
                              <w:proofErr w:type="spellEnd"/>
                              <w:r w:rsidRPr="006972B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u </w:t>
                              </w:r>
                              <w:proofErr w:type="spellStart"/>
                              <w:r w:rsidRPr="006972B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Zagrebu</w:t>
                              </w:r>
                              <w:proofErr w:type="spellEnd"/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E74E20" w:rsidRDefault="00E74E20" w:rsidP="00E74E2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74E20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>iznosi</w:t>
                              </w:r>
                              <w:proofErr w:type="spellEnd"/>
                              <w:r w:rsidRPr="00E74E20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972BC" w:rsidRPr="00E74E20"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32"/>
                                  <w:szCs w:val="32"/>
                                </w:rPr>
                                <w:t>1.000 EUR</w:t>
                              </w:r>
                            </w:p>
                            <w:p w:rsidR="006972BC" w:rsidRDefault="006972BC" w:rsidP="00E74E2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E74E20" w:rsidRPr="00D50AEF" w:rsidRDefault="00E74E20" w:rsidP="00E74E2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Program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će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trajati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od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18-24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mjeseca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ovisno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rasporedu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koji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će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biti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napravljen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do 15.12. 2011. </w:t>
                              </w:r>
                              <w:proofErr w:type="gram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bit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će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organiziran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kroz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25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vikend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predavanja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8 sati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dnevno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6972BC" w:rsidRDefault="00E74E20" w:rsidP="00E74E20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</w:pP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Ispit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će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biti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također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organiziran</w:t>
                              </w:r>
                              <w:r w:rsidR="005C7D5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D50A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on-line</w:t>
                              </w:r>
                              <w:r w:rsidR="005C7D5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439D2" w:rsidRPr="00D50A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="006439D2" w:rsidRPr="006972B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Ako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želite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prijaviti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molim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Vas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da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učinite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01.12.2011. </w:t>
                              </w:r>
                            </w:p>
                            <w:p w:rsidR="006439D2" w:rsidRPr="006439D2" w:rsidRDefault="00E74E20" w:rsidP="00E74E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Predavanja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započeti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siječnju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 xml:space="preserve"> 2012</w:t>
                              </w:r>
                              <w:r w:rsidR="006439D2" w:rsidRPr="006439D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1"/>
                                </w:rPr>
                                <w:t>.</w:t>
                              </w:r>
                            </w:p>
                          </w:tc>
                        </w:tr>
                        <w:tr w:rsidR="006439D2" w:rsidRPr="006439D2" w:rsidTr="00604A77">
                          <w:trPr>
                            <w:tblCellSpacing w:w="0" w:type="dxa"/>
                          </w:trPr>
                          <w:tc>
                            <w:tcPr>
                              <w:tcW w:w="11001" w:type="dxa"/>
                              <w:gridSpan w:val="2"/>
                              <w:vAlign w:val="center"/>
                              <w:hideMark/>
                            </w:tcPr>
                            <w:p w:rsidR="006439D2" w:rsidRPr="006439D2" w:rsidRDefault="006439D2" w:rsidP="006439D2">
                              <w:pPr>
                                <w:spacing w:before="100" w:beforeAutospacing="1" w:after="24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933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439D2" w:rsidRPr="006439D2" w:rsidTr="00604A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11001" w:type="dxa"/>
                              <w:gridSpan w:val="2"/>
                              <w:vAlign w:val="center"/>
                              <w:hideMark/>
                            </w:tcPr>
                            <w:p w:rsidR="006439D2" w:rsidRPr="006439D2" w:rsidRDefault="006439D2" w:rsidP="00E74E20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439D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439D2" w:rsidRPr="006439D2" w:rsidRDefault="006439D2" w:rsidP="006439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439D2" w:rsidRPr="006439D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ADCC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439D2" w:rsidRPr="006439D2" w:rsidRDefault="006439D2" w:rsidP="00643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439D2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6439D2" w:rsidRPr="006439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ADCC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6439D2" w:rsidRDefault="006439D2" w:rsidP="006439D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3300"/>
                            <w:sz w:val="24"/>
                            <w:szCs w:val="24"/>
                          </w:rPr>
                        </w:pPr>
                        <w:r w:rsidRPr="006439D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3300"/>
                            <w:sz w:val="24"/>
                            <w:szCs w:val="24"/>
                          </w:rPr>
                          <w:t>International Academy of Classical Homeopathy</w:t>
                        </w:r>
                      </w:p>
                      <w:p w:rsidR="005C7D5D" w:rsidRPr="006439D2" w:rsidRDefault="005C7D5D" w:rsidP="00643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50AEF" w:rsidRDefault="00D50AEF" w:rsidP="003A416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Koordinator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za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Hrvatsku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: Irena Brbić,</w:t>
                        </w:r>
                      </w:p>
                      <w:p w:rsidR="006439D2" w:rsidRDefault="003A4163" w:rsidP="003A41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Za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više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kontaktirajte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 xml:space="preserve"> me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>na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1"/>
                          </w:rPr>
                          <w:t xml:space="preserve"> irena@petosunce.com</w:t>
                        </w:r>
                        <w:r w:rsidRPr="00643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C7D5D" w:rsidRPr="005C7D5D" w:rsidRDefault="005C7D5D" w:rsidP="003A416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sz w:val="20"/>
                            <w:szCs w:val="20"/>
                          </w:rPr>
                        </w:pPr>
                        <w:r w:rsidRPr="005C7D5D">
                          <w:rPr>
                            <w:rFonts w:ascii="Verdana" w:eastAsia="Times New Roman" w:hAnsi="Verdana" w:cs="Times New Roman"/>
                            <w:b/>
                            <w:sz w:val="20"/>
                            <w:szCs w:val="20"/>
                          </w:rPr>
                          <w:t>091/3034-610</w:t>
                        </w:r>
                      </w:p>
                    </w:tc>
                  </w:tr>
                </w:tbl>
                <w:p w:rsidR="006439D2" w:rsidRPr="006439D2" w:rsidRDefault="006439D2" w:rsidP="006439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439D2" w:rsidRPr="006439D2" w:rsidRDefault="006439D2" w:rsidP="006439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35B2B" w:rsidRDefault="00C35B2B"/>
    <w:sectPr w:rsidR="00C35B2B" w:rsidSect="00C35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9D2"/>
    <w:rsid w:val="002221F1"/>
    <w:rsid w:val="003A4163"/>
    <w:rsid w:val="00400CEF"/>
    <w:rsid w:val="0043547D"/>
    <w:rsid w:val="005C7D5D"/>
    <w:rsid w:val="00604A77"/>
    <w:rsid w:val="006439D2"/>
    <w:rsid w:val="006928E1"/>
    <w:rsid w:val="00696671"/>
    <w:rsid w:val="006972BC"/>
    <w:rsid w:val="006A3FB1"/>
    <w:rsid w:val="00B30147"/>
    <w:rsid w:val="00BF619F"/>
    <w:rsid w:val="00C35B2B"/>
    <w:rsid w:val="00D50AEF"/>
    <w:rsid w:val="00E7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39D2"/>
    <w:rPr>
      <w:b/>
      <w:bCs/>
    </w:rPr>
  </w:style>
  <w:style w:type="paragraph" w:styleId="NormalWeb">
    <w:name w:val="Normal (Web)"/>
    <w:basedOn w:val="Normal"/>
    <w:uiPriority w:val="99"/>
    <w:unhideWhenUsed/>
    <w:rsid w:val="0064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39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39D2"/>
  </w:style>
  <w:style w:type="character" w:customStyle="1" w:styleId="il">
    <w:name w:val="il"/>
    <w:basedOn w:val="DefaultParagraphFont"/>
    <w:rsid w:val="00643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1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meo.com/292797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2011-09-28T05:20:00Z</dcterms:created>
  <dcterms:modified xsi:type="dcterms:W3CDTF">2011-09-28T19:24:00Z</dcterms:modified>
</cp:coreProperties>
</file>